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E8B52">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Below is the full English translation of the document:</w:t>
      </w:r>
    </w:p>
    <w:p w14:paraId="31CAE9B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20E38E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The 14th Five-Year Plan for Sports Development (2021–2025)</w:t>
      </w:r>
    </w:p>
    <w:p w14:paraId="536AD38E">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The 14th Five-Year Plan period marks the first five years after China completed the building of a moderately prosperous society and achieved the First Centenary Goal. It is the initial stage of embarking on a new journey toward fully building a modern socialist country and advancing toward the Second Centenary Goal. It is also a crucial opening period for consolidating the foundation of building a leading sports nation and striving to achieve sports modernization.</w:t>
      </w:r>
    </w:p>
    <w:p w14:paraId="472945D2">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To coordinate the development of sports during the 14th Five-Year period and accelerate the transformation of sports into a landmark undertaking of the great rejuvenation of the Chinese nation, this Plan is formulated in accordance with the decisions of the Fifth Plenary Session of the 19th CPC Central Committee, the Outline of the 14th Five-Year Plan for National Economic and Social Development and the Long-Range Objectives Through 2035, and the Outline for Building a Leading Sports Nation, taking into account China’s actual sports development.</w:t>
      </w:r>
    </w:p>
    <w:p w14:paraId="7A4DF6E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66E19E8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Embarking on a New Journey Toward a Modernized Sports Power</w:t>
      </w:r>
    </w:p>
    <w:p w14:paraId="5A14E013">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1. Major Achievements During the 13th Five-Year Period</w:t>
      </w:r>
    </w:p>
    <w:p w14:paraId="1D3521EE">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During the 13th Five-Year period, under the strong leadership of the CPC Central Committee and the State Council, China’s sports sector achieved significant progress:</w:t>
      </w:r>
    </w:p>
    <w:p w14:paraId="731CA64E">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Clearer top-level design and overall planning</w:t>
      </w:r>
    </w:p>
    <w:p w14:paraId="3D03F18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 xml:space="preserve">Promulgation of major policy documents such as: </w:t>
      </w:r>
    </w:p>
    <w:p w14:paraId="0F9F90DD">
      <w:pPr>
        <w:keepNext w:val="0"/>
        <w:keepLines w:val="0"/>
        <w:widowControl/>
        <w:numPr>
          <w:ilvl w:val="1"/>
          <w:numId w:val="1"/>
        </w:numPr>
        <w:suppressLineNumbers w:val="0"/>
        <w:spacing w:before="0" w:beforeAutospacing="1" w:after="0" w:afterAutospacing="1"/>
        <w:ind w:left="1440" w:hanging="360"/>
        <w:rPr>
          <w:rFonts w:hint="default" w:ascii="Times New Roman" w:hAnsi="Times New Roman" w:cs="Times New Roman"/>
        </w:rPr>
      </w:pPr>
      <w:r>
        <w:rPr>
          <w:rStyle w:val="10"/>
          <w:rFonts w:hint="default" w:ascii="Times New Roman" w:hAnsi="Times New Roman" w:cs="Times New Roman"/>
        </w:rPr>
        <w:t>Outline for Building a Leading Sports Nation</w:t>
      </w:r>
    </w:p>
    <w:p w14:paraId="3F2D6647">
      <w:pPr>
        <w:keepNext w:val="0"/>
        <w:keepLines w:val="0"/>
        <w:widowControl/>
        <w:numPr>
          <w:ilvl w:val="1"/>
          <w:numId w:val="1"/>
        </w:numPr>
        <w:suppressLineNumbers w:val="0"/>
        <w:spacing w:before="0" w:beforeAutospacing="1" w:after="0" w:afterAutospacing="1"/>
        <w:ind w:left="1440" w:hanging="360"/>
        <w:rPr>
          <w:rFonts w:hint="default" w:ascii="Times New Roman" w:hAnsi="Times New Roman" w:cs="Times New Roman"/>
        </w:rPr>
      </w:pPr>
      <w:r>
        <w:rPr>
          <w:rStyle w:val="10"/>
          <w:rFonts w:hint="default" w:ascii="Times New Roman" w:hAnsi="Times New Roman" w:cs="Times New Roman"/>
        </w:rPr>
        <w:t>Opinions on Promoting National Fitness and Sports Consumption</w:t>
      </w:r>
    </w:p>
    <w:p w14:paraId="3F015753">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Deepening of “streamlining administration, delegating power, improving regulation, and optimizing services” reforms</w:t>
      </w:r>
    </w:p>
    <w:p w14:paraId="53B55465">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Steady advancement in reforms of national sports associations, National Games, and football</w:t>
      </w:r>
    </w:p>
    <w:p w14:paraId="1770A35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National Fitness</w:t>
      </w:r>
    </w:p>
    <w:p w14:paraId="1B4743B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Per capita sports venue area reached 2.2 m² by 2020</w:t>
      </w:r>
    </w:p>
    <w:p w14:paraId="4A3F58E3">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1.86 social sports instructors per 1,000 people</w:t>
      </w:r>
    </w:p>
    <w:p w14:paraId="21B8DE60">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37.2% regular exercise participation rate</w:t>
      </w:r>
    </w:p>
    <w:p w14:paraId="2C6503A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Competitive Sports</w:t>
      </w:r>
    </w:p>
    <w:p w14:paraId="02FA9464">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586 world championships won</w:t>
      </w:r>
    </w:p>
    <w:p w14:paraId="322DD45A">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75 world records broken or equaled</w:t>
      </w:r>
    </w:p>
    <w:p w14:paraId="4A0A516C">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Rio 2016 Olympics: 26 gold medals</w:t>
      </w:r>
    </w:p>
    <w:p w14:paraId="75EB3AE6">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Tokyo 2020 Olympics: 38 gold medals</w:t>
      </w:r>
    </w:p>
    <w:p w14:paraId="3A51A5E6">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Top 3 in gold medals for six consecutive Olympic Games</w:t>
      </w:r>
    </w:p>
    <w:p w14:paraId="6694C85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Industry</w:t>
      </w:r>
    </w:p>
    <w:p w14:paraId="24DF417F">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Industry scale grew from RMB 1.71 trillion (2015) to RMB 2.95 trillion (2019)</w:t>
      </w:r>
    </w:p>
    <w:p w14:paraId="2CB847DB">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Average annual growth rate: 14.6%</w:t>
      </w:r>
    </w:p>
    <w:p w14:paraId="68CEB673">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5.05 million employees</w:t>
      </w:r>
    </w:p>
    <w:p w14:paraId="1609D998">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Structural optimization and deeper industry integration</w:t>
      </w:r>
    </w:p>
    <w:p w14:paraId="7D2A8608">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Other Achievements</w:t>
      </w:r>
    </w:p>
    <w:p w14:paraId="68BB410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Enhanced sports cultural influence</w:t>
      </w:r>
    </w:p>
    <w:p w14:paraId="3D3EB220">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Expanded international cooperation</w:t>
      </w:r>
    </w:p>
    <w:p w14:paraId="3D210806">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anti-doping system</w:t>
      </w:r>
    </w:p>
    <w:p w14:paraId="2FEBAB41">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Progress in Winter Olympics preparation</w:t>
      </w:r>
    </w:p>
    <w:p w14:paraId="49FBDC32">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Effective COVID-19 response</w:t>
      </w:r>
    </w:p>
    <w:p w14:paraId="02339EE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6A09AE59">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2. Development Environment During the 14th Five-Year Period</w:t>
      </w:r>
    </w:p>
    <w:p w14:paraId="697F86EC">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Opportunities:</w:t>
      </w:r>
    </w:p>
    <w:p w14:paraId="20CFF43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Goal of building a sports power by 2035</w:t>
      </w:r>
    </w:p>
    <w:p w14:paraId="239E7F08">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New dual-circulation development pattern</w:t>
      </w:r>
    </w:p>
    <w:p w14:paraId="6FE7A370">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Innovation-driven technological revolution</w:t>
      </w:r>
    </w:p>
    <w:p w14:paraId="2DE6E6B5">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Rural revitalization and new urbanization</w:t>
      </w:r>
    </w:p>
    <w:p w14:paraId="750E0C21">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Healthy China strategy</w:t>
      </w:r>
    </w:p>
    <w:p w14:paraId="3F204535">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Challenges:</w:t>
      </w:r>
    </w:p>
    <w:p w14:paraId="4F6FEC48">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Increasing global uncertainty</w:t>
      </w:r>
    </w:p>
    <w:p w14:paraId="4187D37B">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Post-pandemic disruption to global sports order</w:t>
      </w:r>
    </w:p>
    <w:p w14:paraId="332136FC">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Persistent regional imbalances</w:t>
      </w:r>
    </w:p>
    <w:p w14:paraId="5B53956B">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Inadequate public fitness services</w:t>
      </w:r>
    </w:p>
    <w:p w14:paraId="605A1F79">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Uneven event development</w:t>
      </w:r>
    </w:p>
    <w:p w14:paraId="3DEF163D">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Insufficient effective supply in sports products and services</w:t>
      </w:r>
    </w:p>
    <w:p w14:paraId="0C9FBBCC">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must adapt to a new development stage, implement new development理念, build a new development pattern, and balance development with security.</w:t>
      </w:r>
    </w:p>
    <w:p w14:paraId="7F7557D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721B9EE4">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3. Long-Range Objectives to 2035</w:t>
      </w:r>
    </w:p>
    <w:p w14:paraId="4F0620C1">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By 2030:</w:t>
      </w:r>
    </w:p>
    <w:p w14:paraId="6AAFAF5A">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development quality and efficiency</w:t>
      </w:r>
    </w:p>
    <w:p w14:paraId="05821DA4">
      <w:pPr>
        <w:keepNext w:val="0"/>
        <w:keepLines w:val="0"/>
        <w:widowControl/>
        <w:numPr>
          <w:ilvl w:val="0"/>
          <w:numId w:val="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Modern governance framework</w:t>
      </w:r>
    </w:p>
    <w:p w14:paraId="2830CE9D">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By 2035:</w:t>
      </w:r>
    </w:p>
    <w:p w14:paraId="113DB560">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Fully built modern sports power</w:t>
      </w:r>
    </w:p>
    <w:p w14:paraId="59CAA73E">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Modernized sports governance system</w:t>
      </w:r>
    </w:p>
    <w:p w14:paraId="2BC8CF6F">
      <w:pPr>
        <w:keepNext w:val="0"/>
        <w:keepLines w:val="0"/>
        <w:widowControl/>
        <w:numPr>
          <w:ilvl w:val="0"/>
          <w:numId w:val="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Sports as a landmark national cause</w:t>
      </w:r>
    </w:p>
    <w:p w14:paraId="62428C4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726F771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Overall Requirements During the 14th Five-Year Period</w:t>
      </w:r>
    </w:p>
    <w:p w14:paraId="361F92AA">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Guiding Ideology</w:t>
      </w:r>
    </w:p>
    <w:p w14:paraId="24542FFB">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Guided by Xi Jinping Thought on Socialism with Chinese Characteristics for a New Era</w:t>
      </w:r>
    </w:p>
    <w:p w14:paraId="30CD89A3">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Focus on high-quality development</w:t>
      </w:r>
    </w:p>
    <w:p w14:paraId="1CC2650D">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Deepen supply-side structural reform</w:t>
      </w:r>
    </w:p>
    <w:p w14:paraId="5E5499BE">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national system advantages</w:t>
      </w:r>
    </w:p>
    <w:p w14:paraId="245D320F">
      <w:pPr>
        <w:keepNext w:val="0"/>
        <w:keepLines w:val="0"/>
        <w:widowControl/>
        <w:numPr>
          <w:ilvl w:val="0"/>
          <w:numId w:val="1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Advance law-based governance</w:t>
      </w:r>
    </w:p>
    <w:p w14:paraId="23D88BA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5FEC9A86">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Basic Principles</w:t>
      </w:r>
    </w:p>
    <w:p w14:paraId="75848C28">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Uphold Party leadership</w:t>
      </w:r>
    </w:p>
    <w:p w14:paraId="5A825109">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People-centered development</w:t>
      </w:r>
    </w:p>
    <w:p w14:paraId="56C8A792">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Implement new development理念</w:t>
      </w:r>
    </w:p>
    <w:p w14:paraId="1CE4DC0C">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Deepen reform</w:t>
      </w:r>
    </w:p>
    <w:p w14:paraId="06820BF5">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Systemic thinking</w:t>
      </w:r>
    </w:p>
    <w:p w14:paraId="11B67C4E">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Balance development and security</w:t>
      </w:r>
    </w:p>
    <w:p w14:paraId="78FA5FB2">
      <w:pPr>
        <w:keepNext w:val="0"/>
        <w:keepLines w:val="0"/>
        <w:widowControl/>
        <w:numPr>
          <w:ilvl w:val="0"/>
          <w:numId w:val="1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Govern sports according to law</w:t>
      </w:r>
    </w:p>
    <w:p w14:paraId="6779273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0BE38455">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Major Targets by 2025</w:t>
      </w:r>
    </w:p>
    <w:p w14:paraId="7A3024C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National Fitness</w:t>
      </w:r>
    </w:p>
    <w:p w14:paraId="60E909F1">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2.6 m² per capita sports venue area</w:t>
      </w:r>
      <w:bookmarkStart w:id="0" w:name="_GoBack"/>
      <w:bookmarkEnd w:id="0"/>
    </w:p>
    <w:p w14:paraId="362732E7">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38.5% regular exercise participation rate</w:t>
      </w:r>
    </w:p>
    <w:p w14:paraId="508DEB6B">
      <w:pPr>
        <w:keepNext w:val="0"/>
        <w:keepLines w:val="0"/>
        <w:widowControl/>
        <w:numPr>
          <w:ilvl w:val="0"/>
          <w:numId w:val="1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2.16 social sports instructors per 1,000 people</w:t>
      </w:r>
    </w:p>
    <w:p w14:paraId="6CCB107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Competitive Sports</w:t>
      </w:r>
    </w:p>
    <w:p w14:paraId="276AF21B">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Stronger Olympic performance</w:t>
      </w:r>
    </w:p>
    <w:p w14:paraId="058D9089">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winter sports</w:t>
      </w:r>
    </w:p>
    <w:p w14:paraId="60D4D9BF">
      <w:pPr>
        <w:keepNext w:val="0"/>
        <w:keepLines w:val="0"/>
        <w:widowControl/>
        <w:numPr>
          <w:ilvl w:val="0"/>
          <w:numId w:val="1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Solid foundation in the “Three Major Ball Sports”</w:t>
      </w:r>
    </w:p>
    <w:p w14:paraId="4550D2F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Youth Sports</w:t>
      </w:r>
    </w:p>
    <w:p w14:paraId="5892DAD5">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1–2 sports skills mastered by most youths</w:t>
      </w:r>
    </w:p>
    <w:p w14:paraId="5E24804C">
      <w:pPr>
        <w:keepNext w:val="0"/>
        <w:keepLines w:val="0"/>
        <w:widowControl/>
        <w:numPr>
          <w:ilvl w:val="0"/>
          <w:numId w:val="1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reserve talent system</w:t>
      </w:r>
    </w:p>
    <w:p w14:paraId="15909F5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Industry</w:t>
      </w:r>
    </w:p>
    <w:p w14:paraId="6FC19FCD">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Total scale reaches RMB 5 trillion</w:t>
      </w:r>
    </w:p>
    <w:p w14:paraId="434F653B">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Value-added accounts for 2% of GDP</w:t>
      </w:r>
    </w:p>
    <w:p w14:paraId="13DC7973">
      <w:pPr>
        <w:keepNext w:val="0"/>
        <w:keepLines w:val="0"/>
        <w:widowControl/>
        <w:numPr>
          <w:ilvl w:val="0"/>
          <w:numId w:val="1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8 million employees</w:t>
      </w:r>
    </w:p>
    <w:p w14:paraId="2D1FA4E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Culture</w:t>
      </w:r>
    </w:p>
    <w:p w14:paraId="47CB77F4">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Stronger Chinese sports spirit</w:t>
      </w:r>
    </w:p>
    <w:p w14:paraId="5C66DF79">
      <w:pPr>
        <w:keepNext w:val="0"/>
        <w:keepLines w:val="0"/>
        <w:widowControl/>
        <w:numPr>
          <w:ilvl w:val="0"/>
          <w:numId w:val="1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Increased cultural soft power</w:t>
      </w:r>
    </w:p>
    <w:p w14:paraId="52F61DD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International Exchange</w:t>
      </w:r>
    </w:p>
    <w:p w14:paraId="7501F314">
      <w:pPr>
        <w:keepNext w:val="0"/>
        <w:keepLines w:val="0"/>
        <w:widowControl/>
        <w:numPr>
          <w:ilvl w:val="0"/>
          <w:numId w:val="1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Enhanced global influence</w:t>
      </w:r>
    </w:p>
    <w:p w14:paraId="077FD20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Science &amp; Education</w:t>
      </w:r>
    </w:p>
    <w:p w14:paraId="6337E198">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sports research and digital application</w:t>
      </w:r>
    </w:p>
    <w:p w14:paraId="654C1CC6">
      <w:pPr>
        <w:keepNext w:val="0"/>
        <w:keepLines w:val="0"/>
        <w:widowControl/>
        <w:numPr>
          <w:ilvl w:val="0"/>
          <w:numId w:val="1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Strengthened anti-doping governance</w:t>
      </w:r>
    </w:p>
    <w:p w14:paraId="3145E71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Rule of Law</w:t>
      </w:r>
    </w:p>
    <w:p w14:paraId="63ADDB6A">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Improved legal framework</w:t>
      </w:r>
    </w:p>
    <w:p w14:paraId="2F60865A">
      <w:pPr>
        <w:keepNext w:val="0"/>
        <w:keepLines w:val="0"/>
        <w:widowControl/>
        <w:numPr>
          <w:ilvl w:val="0"/>
          <w:numId w:val="1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sports arbitration system</w:t>
      </w:r>
    </w:p>
    <w:p w14:paraId="762201E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1818567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Implementing the National Fitness Strategy</w:t>
      </w:r>
    </w:p>
    <w:p w14:paraId="12159C90">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Key actions:</w:t>
      </w:r>
    </w:p>
    <w:p w14:paraId="62CE46CB">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higher-level public fitness service system</w:t>
      </w:r>
    </w:p>
    <w:p w14:paraId="21874CE6">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facilities (sports parks, fitness centers, football fields)</w:t>
      </w:r>
    </w:p>
    <w:p w14:paraId="752E77F1">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fitness and health</w:t>
      </w:r>
    </w:p>
    <w:p w14:paraId="409F1382">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digital fitness platforms</w:t>
      </w:r>
    </w:p>
    <w:p w14:paraId="33B49D75">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national sports grading system</w:t>
      </w:r>
    </w:p>
    <w:p w14:paraId="5EA54EFD">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2,000+ sports parks</w:t>
      </w:r>
    </w:p>
    <w:p w14:paraId="449D0732">
      <w:pPr>
        <w:keepNext w:val="0"/>
        <w:keepLines w:val="0"/>
        <w:widowControl/>
        <w:numPr>
          <w:ilvl w:val="0"/>
          <w:numId w:val="2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Achieve near full county-level facility coverage</w:t>
      </w:r>
    </w:p>
    <w:p w14:paraId="2C30088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531313F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Combining Whole-Nation and Market Mechanisms</w:t>
      </w:r>
    </w:p>
    <w:p w14:paraId="3689F73C">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competitive sports system</w:t>
      </w:r>
    </w:p>
    <w:p w14:paraId="08D1EEEB">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Optimize event layout</w:t>
      </w:r>
    </w:p>
    <w:p w14:paraId="70DA6FF7">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training science</w:t>
      </w:r>
    </w:p>
    <w:p w14:paraId="2E64628B">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competition system</w:t>
      </w:r>
    </w:p>
    <w:p w14:paraId="42C41C82">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professional leagues</w:t>
      </w:r>
    </w:p>
    <w:p w14:paraId="48363D5F">
      <w:pPr>
        <w:keepNext w:val="0"/>
        <w:keepLines w:val="0"/>
        <w:widowControl/>
        <w:numPr>
          <w:ilvl w:val="0"/>
          <w:numId w:val="2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national team management</w:t>
      </w:r>
    </w:p>
    <w:p w14:paraId="3A9A78EF">
      <w:pPr>
        <w:pStyle w:val="7"/>
        <w:keepNext w:val="0"/>
        <w:keepLines w:val="0"/>
        <w:widowControl/>
        <w:suppressLineNumbers w:val="0"/>
        <w:rPr>
          <w:rFonts w:hint="default" w:ascii="Times New Roman" w:hAnsi="Times New Roman" w:cs="Times New Roman"/>
        </w:rPr>
      </w:pPr>
      <w:r>
        <w:rPr>
          <w:rFonts w:hint="default" w:ascii="Times New Roman" w:hAnsi="Times New Roman" w:cs="Times New Roman"/>
        </w:rPr>
        <w:t>Special focus:</w:t>
      </w:r>
    </w:p>
    <w:p w14:paraId="3DD10B55">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Revitalize the “Three Major Ball Sports”</w:t>
      </w:r>
    </w:p>
    <w:p w14:paraId="1E61D2BC">
      <w:pPr>
        <w:keepNext w:val="0"/>
        <w:keepLines w:val="0"/>
        <w:widowControl/>
        <w:numPr>
          <w:ilvl w:val="0"/>
          <w:numId w:val="2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Olympic preparation</w:t>
      </w:r>
    </w:p>
    <w:p w14:paraId="01E7DBC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13BBD2E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 Youth Sports and Sports–Education Integration</w:t>
      </w:r>
    </w:p>
    <w:p w14:paraId="649CDBA4">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traditional sports schools</w:t>
      </w:r>
    </w:p>
    <w:p w14:paraId="5D0C3011">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youth competition system</w:t>
      </w:r>
    </w:p>
    <w:p w14:paraId="42D933CA">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Reform sports schools</w:t>
      </w:r>
    </w:p>
    <w:p w14:paraId="4D3B5DE0">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youth sports clubs</w:t>
      </w:r>
    </w:p>
    <w:p w14:paraId="043E80FC">
      <w:pPr>
        <w:keepNext w:val="0"/>
        <w:keepLines w:val="0"/>
        <w:widowControl/>
        <w:numPr>
          <w:ilvl w:val="0"/>
          <w:numId w:val="2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“one-stop” talent pathways</w:t>
      </w:r>
    </w:p>
    <w:p w14:paraId="025F281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45533D4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 High-Quality Sports Industry Development</w:t>
      </w:r>
    </w:p>
    <w:p w14:paraId="66056DAD">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modern sports industry system</w:t>
      </w:r>
    </w:p>
    <w:p w14:paraId="010645FC">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tourism</w:t>
      </w:r>
    </w:p>
    <w:p w14:paraId="69E0B9B7">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Cultivate 100 major sports enterprises</w:t>
      </w:r>
    </w:p>
    <w:p w14:paraId="1D27D9DF">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sports consumption</w:t>
      </w:r>
    </w:p>
    <w:p w14:paraId="2EBDDCB5">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digital sports economy</w:t>
      </w:r>
    </w:p>
    <w:p w14:paraId="7761D759">
      <w:pPr>
        <w:keepNext w:val="0"/>
        <w:keepLines w:val="0"/>
        <w:widowControl/>
        <w:numPr>
          <w:ilvl w:val="0"/>
          <w:numId w:val="2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responsible lottery development</w:t>
      </w:r>
    </w:p>
    <w:p w14:paraId="00B38B1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46F2787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VII. Sports Culture Development</w:t>
      </w:r>
    </w:p>
    <w:p w14:paraId="2DBB3446">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ideological guidance</w:t>
      </w:r>
    </w:p>
    <w:p w14:paraId="1B21CE3F">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Chinese sports spirit</w:t>
      </w:r>
    </w:p>
    <w:p w14:paraId="381AF3F7">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sports media platforms</w:t>
      </w:r>
    </w:p>
    <w:p w14:paraId="70A54A58">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Protect traditional sports heritage</w:t>
      </w:r>
    </w:p>
    <w:p w14:paraId="692020DA">
      <w:pPr>
        <w:keepNext w:val="0"/>
        <w:keepLines w:val="0"/>
        <w:widowControl/>
        <w:numPr>
          <w:ilvl w:val="0"/>
          <w:numId w:val="2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martial arts and traditional sports globally</w:t>
      </w:r>
    </w:p>
    <w:p w14:paraId="130003E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7DBC5B8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VIII. Winter Sports Development</w:t>
      </w:r>
    </w:p>
    <w:p w14:paraId="0333C7EF">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Prepare for Beijing 2022 legacy</w:t>
      </w:r>
    </w:p>
    <w:p w14:paraId="7D6C4494">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participation of 300 million people in winter sports</w:t>
      </w:r>
    </w:p>
    <w:p w14:paraId="03BC5E86">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ice and snow industry</w:t>
      </w:r>
    </w:p>
    <w:p w14:paraId="37C50BE2">
      <w:pPr>
        <w:keepNext w:val="0"/>
        <w:keepLines w:val="0"/>
        <w:widowControl/>
        <w:numPr>
          <w:ilvl w:val="0"/>
          <w:numId w:val="2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Expand international influence</w:t>
      </w:r>
    </w:p>
    <w:p w14:paraId="1BE0767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28CDF48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IX. Science, Talent and Digitalization</w:t>
      </w:r>
    </w:p>
    <w:p w14:paraId="3D6EEF38">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sports research platforms</w:t>
      </w:r>
    </w:p>
    <w:p w14:paraId="546B689B">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elite talent programs</w:t>
      </w:r>
    </w:p>
    <w:p w14:paraId="6DFF9E35">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Construct digital sports platforms</w:t>
      </w:r>
    </w:p>
    <w:p w14:paraId="57D68EB3">
      <w:pPr>
        <w:keepNext w:val="0"/>
        <w:keepLines w:val="0"/>
        <w:widowControl/>
        <w:numPr>
          <w:ilvl w:val="0"/>
          <w:numId w:val="2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national sports big data center</w:t>
      </w:r>
    </w:p>
    <w:p w14:paraId="096BBFD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21513C9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X. Legal System and Governance</w:t>
      </w:r>
    </w:p>
    <w:p w14:paraId="4B3A1171">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Revise Sports Law</w:t>
      </w:r>
    </w:p>
    <w:p w14:paraId="2432F7CB">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administrative enforcement</w:t>
      </w:r>
    </w:p>
    <w:p w14:paraId="232FEE5A">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sports arbitration</w:t>
      </w:r>
    </w:p>
    <w:p w14:paraId="6597D9F5">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anti-doping governance</w:t>
      </w:r>
    </w:p>
    <w:p w14:paraId="3FBAAC5B">
      <w:pPr>
        <w:keepNext w:val="0"/>
        <w:keepLines w:val="0"/>
        <w:widowControl/>
        <w:numPr>
          <w:ilvl w:val="0"/>
          <w:numId w:val="28"/>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Regulate sports market</w:t>
      </w:r>
    </w:p>
    <w:p w14:paraId="524A505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129B83E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XI. Regional Coordination</w:t>
      </w:r>
    </w:p>
    <w:p w14:paraId="3D49F562">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Integrate sports into major national regional strategies</w:t>
      </w:r>
    </w:p>
    <w:p w14:paraId="6C86BE78">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rural revitalization through sports</w:t>
      </w:r>
    </w:p>
    <w:p w14:paraId="6BE910B8">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Develop western and border regions</w:t>
      </w:r>
    </w:p>
    <w:p w14:paraId="69CDDEB6">
      <w:pPr>
        <w:keepNext w:val="0"/>
        <w:keepLines w:val="0"/>
        <w:widowControl/>
        <w:numPr>
          <w:ilvl w:val="0"/>
          <w:numId w:val="29"/>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Build regional sports alliances</w:t>
      </w:r>
    </w:p>
    <w:p w14:paraId="4FC6206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21EDF00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XII. Party Leadership and Implementation</w:t>
      </w:r>
    </w:p>
    <w:p w14:paraId="5C648C08">
      <w:pPr>
        <w:keepNext w:val="0"/>
        <w:keepLines w:val="0"/>
        <w:widowControl/>
        <w:numPr>
          <w:ilvl w:val="0"/>
          <w:numId w:val="3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Party leadership</w:t>
      </w:r>
    </w:p>
    <w:p w14:paraId="2DD46707">
      <w:pPr>
        <w:keepNext w:val="0"/>
        <w:keepLines w:val="0"/>
        <w:widowControl/>
        <w:numPr>
          <w:ilvl w:val="0"/>
          <w:numId w:val="3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Clarify responsibilities</w:t>
      </w:r>
    </w:p>
    <w:p w14:paraId="1F7D3EC8">
      <w:pPr>
        <w:keepNext w:val="0"/>
        <w:keepLines w:val="0"/>
        <w:widowControl/>
        <w:numPr>
          <w:ilvl w:val="0"/>
          <w:numId w:val="3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Increase policy and financial support</w:t>
      </w:r>
    </w:p>
    <w:p w14:paraId="1C24DC3A">
      <w:pPr>
        <w:keepNext w:val="0"/>
        <w:keepLines w:val="0"/>
        <w:widowControl/>
        <w:numPr>
          <w:ilvl w:val="0"/>
          <w:numId w:val="3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Establish evaluation mechanisms</w:t>
      </w:r>
    </w:p>
    <w:p w14:paraId="714585F6">
      <w:pPr>
        <w:keepNext w:val="0"/>
        <w:keepLines w:val="0"/>
        <w:widowControl/>
        <w:numPr>
          <w:ilvl w:val="0"/>
          <w:numId w:val="30"/>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Conduct mid-term and final assessments</w:t>
      </w:r>
    </w:p>
    <w:p w14:paraId="03436C3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2" o:spt="1" style="height:1.5pt;width:432pt;" fillcolor="#A0A0A0" filled="t" stroked="f" coordsize="21600,21600" o:hr="t" o:hrstd="t" o:hralign="center">
            <v:path/>
            <v:fill on="t" focussize="0,0"/>
            <v:stroke on="f"/>
            <v:imagedata o:title=""/>
            <o:lock v:ext="edit"/>
            <w10:wrap type="none"/>
            <w10:anchorlock/>
          </v:rect>
        </w:pict>
      </w:r>
    </w:p>
    <w:p w14:paraId="0C42523A">
      <w:pPr>
        <w:rPr>
          <w:rFonts w:hint="default" w:ascii="Times New Roman" w:hAnsi="Times New Roman" w:cs="Times New Roman"/>
        </w:rPr>
      </w:pPr>
    </w:p>
    <w:sectPr>
      <w:footerReference r:id="rId5" w:type="default"/>
      <w:pgSz w:w="11900" w:h="16840"/>
      <w:pgMar w:top="1431" w:right="1557" w:bottom="2062" w:left="1586" w:header="0" w:footer="176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9F755">
    <w:pPr>
      <w:pStyle w:val="5"/>
      <w:spacing w:line="288" w:lineRule="exact"/>
      <w:ind w:left="7236"/>
      <w:rPr>
        <w:sz w:val="26"/>
        <w:szCs w:val="26"/>
      </w:rPr>
    </w:pPr>
    <w:r>
      <w:rPr>
        <w:position w:val="-1"/>
        <w:sz w:val="26"/>
        <w:szCs w:val="26"/>
      </w:rPr>
      <w:t xml:space="preserve">—   </w:t>
    </w:r>
    <w:r>
      <w:rPr>
        <w:position w:val="-5"/>
        <w:sz w:val="26"/>
        <w:szCs w:val="26"/>
      </w:rPr>
      <w:t>57</w:t>
    </w:r>
    <w:r>
      <w:rPr>
        <w:spacing w:val="3"/>
        <w:position w:val="-5"/>
        <w:sz w:val="26"/>
        <w:szCs w:val="26"/>
      </w:rPr>
      <w:t xml:space="preserve">  </w:t>
    </w:r>
    <w:r>
      <w:rPr>
        <w:position w:val="-1"/>
        <w:sz w:val="26"/>
        <w:szCs w:val="2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936D8"/>
    <w:multiLevelType w:val="multilevel"/>
    <w:tmpl w:val="960936D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9765F2A0"/>
    <w:multiLevelType w:val="multilevel"/>
    <w:tmpl w:val="9765F2A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1149991"/>
    <w:multiLevelType w:val="multilevel"/>
    <w:tmpl w:val="A114999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5D1A492"/>
    <w:multiLevelType w:val="multilevel"/>
    <w:tmpl w:val="A5D1A49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A9811E1A"/>
    <w:multiLevelType w:val="multilevel"/>
    <w:tmpl w:val="A9811E1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B41FAEB4"/>
    <w:multiLevelType w:val="multilevel"/>
    <w:tmpl w:val="B41FAEB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BDBFDA99"/>
    <w:multiLevelType w:val="multilevel"/>
    <w:tmpl w:val="BDBFDA9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D35CF5DD"/>
    <w:multiLevelType w:val="multilevel"/>
    <w:tmpl w:val="D35CF5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DBDC01D1"/>
    <w:multiLevelType w:val="multilevel"/>
    <w:tmpl w:val="DBDC01D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EB626795"/>
    <w:multiLevelType w:val="multilevel"/>
    <w:tmpl w:val="EB6267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EFD553C3"/>
    <w:multiLevelType w:val="multilevel"/>
    <w:tmpl w:val="EFD553C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F94F1921"/>
    <w:multiLevelType w:val="multilevel"/>
    <w:tmpl w:val="F94F192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01834D4F"/>
    <w:multiLevelType w:val="multilevel"/>
    <w:tmpl w:val="01834D4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01D72D62"/>
    <w:multiLevelType w:val="multilevel"/>
    <w:tmpl w:val="01D72D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0E2C9297"/>
    <w:multiLevelType w:val="multilevel"/>
    <w:tmpl w:val="0E2C929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21C80E45"/>
    <w:multiLevelType w:val="multilevel"/>
    <w:tmpl w:val="21C80E4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6">
    <w:nsid w:val="21F052D2"/>
    <w:multiLevelType w:val="multilevel"/>
    <w:tmpl w:val="21F052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2354481E"/>
    <w:multiLevelType w:val="multilevel"/>
    <w:tmpl w:val="2354481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24E8CEC4"/>
    <w:multiLevelType w:val="multilevel"/>
    <w:tmpl w:val="24E8CEC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9">
    <w:nsid w:val="27C8411F"/>
    <w:multiLevelType w:val="multilevel"/>
    <w:tmpl w:val="27C841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0">
    <w:nsid w:val="2BA2AACB"/>
    <w:multiLevelType w:val="multilevel"/>
    <w:tmpl w:val="2BA2AAC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41CB8D6A"/>
    <w:multiLevelType w:val="multilevel"/>
    <w:tmpl w:val="41CB8D6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4458C716"/>
    <w:multiLevelType w:val="multilevel"/>
    <w:tmpl w:val="4458C7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3">
    <w:nsid w:val="5DF0E8E5"/>
    <w:multiLevelType w:val="multilevel"/>
    <w:tmpl w:val="5DF0E8E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4">
    <w:nsid w:val="65960244"/>
    <w:multiLevelType w:val="multilevel"/>
    <w:tmpl w:val="6596024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5">
    <w:nsid w:val="67AED48F"/>
    <w:multiLevelType w:val="multilevel"/>
    <w:tmpl w:val="67AED48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6B486A7B"/>
    <w:multiLevelType w:val="multilevel"/>
    <w:tmpl w:val="6B486A7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7">
    <w:nsid w:val="6D99C159"/>
    <w:multiLevelType w:val="multilevel"/>
    <w:tmpl w:val="6D99C15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8">
    <w:nsid w:val="72C0FE98"/>
    <w:multiLevelType w:val="multilevel"/>
    <w:tmpl w:val="72C0FE9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9">
    <w:nsid w:val="7994E7D2"/>
    <w:multiLevelType w:val="multilevel"/>
    <w:tmpl w:val="7994E7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7"/>
  </w:num>
  <w:num w:numId="2">
    <w:abstractNumId w:val="17"/>
  </w:num>
  <w:num w:numId="3">
    <w:abstractNumId w:val="10"/>
  </w:num>
  <w:num w:numId="4">
    <w:abstractNumId w:val="15"/>
  </w:num>
  <w:num w:numId="5">
    <w:abstractNumId w:val="16"/>
  </w:num>
  <w:num w:numId="6">
    <w:abstractNumId w:val="6"/>
  </w:num>
  <w:num w:numId="7">
    <w:abstractNumId w:val="22"/>
  </w:num>
  <w:num w:numId="8">
    <w:abstractNumId w:val="1"/>
  </w:num>
  <w:num w:numId="9">
    <w:abstractNumId w:val="11"/>
  </w:num>
  <w:num w:numId="10">
    <w:abstractNumId w:val="7"/>
  </w:num>
  <w:num w:numId="11">
    <w:abstractNumId w:val="12"/>
  </w:num>
  <w:num w:numId="12">
    <w:abstractNumId w:val="4"/>
  </w:num>
  <w:num w:numId="13">
    <w:abstractNumId w:val="3"/>
  </w:num>
  <w:num w:numId="14">
    <w:abstractNumId w:val="26"/>
  </w:num>
  <w:num w:numId="15">
    <w:abstractNumId w:val="2"/>
  </w:num>
  <w:num w:numId="16">
    <w:abstractNumId w:val="5"/>
  </w:num>
  <w:num w:numId="17">
    <w:abstractNumId w:val="21"/>
  </w:num>
  <w:num w:numId="18">
    <w:abstractNumId w:val="13"/>
  </w:num>
  <w:num w:numId="19">
    <w:abstractNumId w:val="18"/>
  </w:num>
  <w:num w:numId="20">
    <w:abstractNumId w:val="24"/>
  </w:num>
  <w:num w:numId="21">
    <w:abstractNumId w:val="14"/>
  </w:num>
  <w:num w:numId="22">
    <w:abstractNumId w:val="25"/>
  </w:num>
  <w:num w:numId="23">
    <w:abstractNumId w:val="0"/>
  </w:num>
  <w:num w:numId="24">
    <w:abstractNumId w:val="8"/>
  </w:num>
  <w:num w:numId="25">
    <w:abstractNumId w:val="23"/>
  </w:num>
  <w:num w:numId="26">
    <w:abstractNumId w:val="28"/>
  </w:num>
  <w:num w:numId="27">
    <w:abstractNumId w:val="19"/>
  </w:num>
  <w:num w:numId="28">
    <w:abstractNumId w:val="20"/>
  </w:num>
  <w:num w:numId="29">
    <w:abstractNumId w:val="9"/>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9A95A9C"/>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4350C6B"/>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微软雅黑" w:hAnsi="微软雅黑" w:eastAsia="微软雅黑" w:cs="微软雅黑"/>
      <w:sz w:val="29"/>
      <w:szCs w:val="29"/>
      <w:lang w:val="en-US" w:eastAsia="en-US" w:bidi="ar-SA"/>
    </w:rPr>
  </w:style>
  <w:style w:type="paragraph" w:styleId="6">
    <w:name w:val="footnote text"/>
    <w:basedOn w:val="1"/>
    <w:qFormat/>
    <w:uiPriority w:val="0"/>
    <w:pPr>
      <w:snapToGrid w:val="0"/>
      <w:spacing w:line="240" w:lineRule="auto"/>
      <w:ind w:firstLine="0" w:firstLineChars="0"/>
      <w:jc w:val="left"/>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Emphasis"/>
    <w:basedOn w:val="9"/>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 w:type="paragraph" w:customStyle="1" w:styleId="14">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8528</Words>
  <Characters>8660</Characters>
  <Lines>0</Lines>
  <Paragraphs>0</Paragraphs>
  <TotalTime>1</TotalTime>
  <ScaleCrop>false</ScaleCrop>
  <LinksUpToDate>false</LinksUpToDate>
  <CharactersWithSpaces>11041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648DE2BD53FF4F63A41F71E7FCDB91AC_13</vt:lpwstr>
  </property>
  <property fmtid="{D5CDD505-2E9C-101B-9397-08002B2CF9AE}" pid="4" name="KSOTemplateDocerSaveRecord">
    <vt:lpwstr>eyJoZGlkIjoiOTM3YTZhMmQ5YjRkYWU4ZjU1Y2RhODcyN2E4MDQ1YWIiLCJ1c2VySWQiOiI0MzUzNTQ5NTIifQ==</vt:lpwstr>
  </property>
</Properties>
</file>